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“Las penas del joven Werther”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Guía de lectura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Carta del 4 de mayo al 15 de mayo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 Por qué motivos viaja Werther?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 es Leonor?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se siente Werther en esa ciudad? ¿Qué papel tiene la naturaleza?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describe Werther el lugar donde se encuentra?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es el vínculo con los habitantes de la comarca?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del 17 de mayo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quiénes conoce Werther según cuenta en esta carta?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Carta del 26 y 27 de mayo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características tiene el lugar que describe?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es la relación de Werther con los niños?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Carta del 30 de mayo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le cuenta un joven campesino a Werher y cómo reacciona él cuando escucha su historia?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  <w:t xml:space="preserve">10) ¿ Qué le prometió Charlotte a su madre antes de morir?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  <w:t xml:space="preserve">11) ¿Por qué Werther decide irse y cómo se siente en su trabajo con el embajador?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  <w:t xml:space="preserve">12) ¿De qué se entera Werther en la carta del 20 de febrero?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tl w:val="0"/>
        </w:rPr>
        <w:t xml:space="preserve">13) ¿Cómo son los sentimientos de Werther en las últimas cartas de la novela?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F56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ZCTaTv5L+feda+tGYfpCRq73A==">CgMxLjAyCGguZ2pkZ3hzOAByITFadHppSDl5VXRiT1hBR3Q3VXktaUN4X2t0VGlxMnlfQQ==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2020-03-29T20:55:00Z</dcterms:created>
  <dc:creator>PAOLA BORGES</dc:creator>
</cp:coreProperties>
</file>